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C4" w:rsidRPr="005C32C4" w:rsidRDefault="005C32C4" w:rsidP="002950F1">
      <w:pPr>
        <w:pStyle w:val="Heading2"/>
        <w:rPr>
          <w:rFonts w:eastAsia="Times New Roman"/>
        </w:rPr>
      </w:pPr>
      <w:bookmarkStart w:id="0" w:name="_Toc337206124"/>
      <w:bookmarkStart w:id="1" w:name="_GoBack"/>
      <w:bookmarkEnd w:id="1"/>
      <w:r w:rsidRPr="005C32C4">
        <w:rPr>
          <w:rFonts w:eastAsia="Times New Roman"/>
        </w:rPr>
        <w:t>INCIDENTAL CONCRETE:</w:t>
      </w:r>
      <w:bookmarkEnd w:id="0"/>
    </w:p>
    <w:tbl>
      <w:tblPr>
        <w:tblW w:w="0" w:type="auto"/>
        <w:tblLayout w:type="fixed"/>
        <w:tblLook w:val="0000" w:firstRow="0" w:lastRow="0" w:firstColumn="0" w:lastColumn="0" w:noHBand="0" w:noVBand="0"/>
      </w:tblPr>
      <w:tblGrid>
        <w:gridCol w:w="4788"/>
        <w:gridCol w:w="4788"/>
      </w:tblGrid>
      <w:tr w:rsidR="005C32C4" w:rsidRPr="005C32C4" w:rsidTr="003F5C7B">
        <w:tc>
          <w:tcPr>
            <w:tcW w:w="4788" w:type="dxa"/>
          </w:tcPr>
          <w:p w:rsidR="005C32C4" w:rsidRPr="005C32C4" w:rsidRDefault="005C32C4" w:rsidP="005C32C4">
            <w:pPr>
              <w:rPr>
                <w:rFonts w:eastAsia="Times New Roman" w:cs="Times New Roman"/>
                <w:sz w:val="20"/>
                <w:szCs w:val="20"/>
              </w:rPr>
            </w:pPr>
            <w:r w:rsidRPr="005C32C4">
              <w:rPr>
                <w:rFonts w:eastAsia="Times New Roman" w:cs="Times New Roman"/>
                <w:sz w:val="16"/>
                <w:szCs w:val="20"/>
              </w:rPr>
              <w:t>(3-7-08)</w:t>
            </w:r>
          </w:p>
        </w:tc>
        <w:tc>
          <w:tcPr>
            <w:tcW w:w="4788" w:type="dxa"/>
          </w:tcPr>
          <w:p w:rsidR="005C32C4" w:rsidRPr="005C32C4" w:rsidRDefault="005C32C4" w:rsidP="005C32C4">
            <w:pPr>
              <w:jc w:val="right"/>
              <w:rPr>
                <w:rFonts w:eastAsia="Times New Roman" w:cs="Times New Roman"/>
                <w:sz w:val="20"/>
                <w:szCs w:val="20"/>
              </w:rPr>
            </w:pPr>
            <w:r w:rsidRPr="00CC66FB">
              <w:rPr>
                <w:rFonts w:eastAsia="Times New Roman" w:cs="Times New Roman"/>
                <w:color w:val="FF0000"/>
                <w:sz w:val="16"/>
                <w:szCs w:val="20"/>
              </w:rPr>
              <w:t>DDC_825</w:t>
            </w:r>
          </w:p>
        </w:tc>
      </w:tr>
    </w:tbl>
    <w:p w:rsidR="005C32C4" w:rsidRPr="005C32C4" w:rsidRDefault="005C32C4" w:rsidP="005C32C4">
      <w:pPr>
        <w:rPr>
          <w:rFonts w:eastAsia="Times New Roman" w:cs="Times New Roman"/>
          <w:sz w:val="16"/>
          <w:szCs w:val="20"/>
        </w:rPr>
      </w:pPr>
    </w:p>
    <w:p w:rsidR="005C32C4" w:rsidRPr="005C32C4" w:rsidRDefault="005C32C4" w:rsidP="005C32C4">
      <w:pPr>
        <w:jc w:val="both"/>
        <w:rPr>
          <w:rFonts w:eastAsia="Times New Roman" w:cs="Times New Roman"/>
          <w:szCs w:val="24"/>
        </w:rPr>
      </w:pPr>
      <w:r w:rsidRPr="005C32C4">
        <w:rPr>
          <w:rFonts w:eastAsia="Times New Roman" w:cs="Times New Roman"/>
          <w:szCs w:val="24"/>
        </w:rPr>
        <w:t xml:space="preserve">Revise the </w:t>
      </w:r>
      <w:r w:rsidRPr="005C32C4">
        <w:rPr>
          <w:rFonts w:eastAsia="Times New Roman" w:cs="Times New Roman"/>
          <w:i/>
          <w:szCs w:val="24"/>
        </w:rPr>
        <w:t>Standard Specifications</w:t>
      </w:r>
      <w:r w:rsidRPr="005C32C4">
        <w:rPr>
          <w:rFonts w:eastAsia="Times New Roman" w:cs="Times New Roman"/>
          <w:szCs w:val="24"/>
        </w:rPr>
        <w:t xml:space="preserve"> as follows:</w:t>
      </w:r>
    </w:p>
    <w:p w:rsidR="005C32C4" w:rsidRPr="005C32C4" w:rsidRDefault="005C32C4" w:rsidP="005C32C4">
      <w:pPr>
        <w:jc w:val="both"/>
        <w:rPr>
          <w:rFonts w:eastAsia="Times New Roman" w:cs="Times New Roman"/>
          <w:szCs w:val="24"/>
        </w:rPr>
      </w:pPr>
    </w:p>
    <w:p w:rsidR="005C32C4" w:rsidRPr="005C32C4" w:rsidRDefault="005C32C4" w:rsidP="005C32C4">
      <w:pPr>
        <w:jc w:val="both"/>
        <w:rPr>
          <w:rFonts w:eastAsia="Times New Roman" w:cs="Times New Roman"/>
          <w:szCs w:val="24"/>
        </w:rPr>
      </w:pPr>
      <w:r w:rsidRPr="005C32C4">
        <w:rPr>
          <w:rFonts w:eastAsia="Times New Roman" w:cs="Times New Roman"/>
          <w:szCs w:val="24"/>
        </w:rPr>
        <w:t>825-11 Measurement and Payment</w:t>
      </w:r>
    </w:p>
    <w:p w:rsidR="005C32C4" w:rsidRPr="005C32C4" w:rsidRDefault="005C32C4" w:rsidP="005C32C4">
      <w:pPr>
        <w:jc w:val="both"/>
        <w:rPr>
          <w:rFonts w:eastAsia="Times New Roman" w:cs="Times New Roman"/>
          <w:szCs w:val="24"/>
        </w:rPr>
      </w:pPr>
    </w:p>
    <w:p w:rsidR="005C32C4" w:rsidRPr="005C32C4" w:rsidRDefault="005C32C4" w:rsidP="005C32C4">
      <w:pPr>
        <w:jc w:val="both"/>
        <w:rPr>
          <w:rFonts w:eastAsia="Times New Roman" w:cs="Times New Roman"/>
          <w:szCs w:val="24"/>
        </w:rPr>
      </w:pPr>
      <w:r w:rsidRPr="005C32C4">
        <w:rPr>
          <w:rFonts w:eastAsia="Times New Roman" w:cs="Times New Roman"/>
          <w:szCs w:val="24"/>
        </w:rPr>
        <w:t>Replace with the following:</w:t>
      </w:r>
    </w:p>
    <w:p w:rsidR="005C32C4" w:rsidRPr="005C32C4" w:rsidRDefault="005C32C4" w:rsidP="005C32C4">
      <w:pPr>
        <w:jc w:val="both"/>
        <w:rPr>
          <w:rFonts w:eastAsia="Times New Roman" w:cs="Times New Roman"/>
          <w:szCs w:val="24"/>
        </w:rPr>
      </w:pPr>
    </w:p>
    <w:p w:rsidR="005C32C4" w:rsidRPr="005C32C4" w:rsidRDefault="005C32C4" w:rsidP="005C32C4">
      <w:pPr>
        <w:rPr>
          <w:rFonts w:eastAsia="Times New Roman" w:cs="Times New Roman"/>
          <w:snapToGrid w:val="0"/>
          <w:szCs w:val="24"/>
        </w:rPr>
      </w:pPr>
      <w:r w:rsidRPr="005C32C4">
        <w:rPr>
          <w:rFonts w:eastAsia="Times New Roman" w:cs="Times New Roman"/>
          <w:i/>
          <w:snapToGrid w:val="0"/>
          <w:szCs w:val="24"/>
        </w:rPr>
        <w:t xml:space="preserve">Incidental Concrete </w:t>
      </w:r>
      <w:r w:rsidRPr="005C32C4">
        <w:rPr>
          <w:rFonts w:eastAsia="Times New Roman" w:cs="Times New Roman"/>
          <w:snapToGrid w:val="0"/>
          <w:szCs w:val="24"/>
        </w:rPr>
        <w:t>will be measured and paid for in square yards, measured along the surface of the completed and accepted work. Such price includes, but is not limited to excavating and backfilling, sawing the existing adjacent concrete,</w:t>
      </w:r>
      <w:r w:rsidR="00CC66FB">
        <w:rPr>
          <w:rFonts w:eastAsia="Times New Roman" w:cs="Times New Roman"/>
          <w:snapToGrid w:val="0"/>
          <w:szCs w:val="24"/>
        </w:rPr>
        <w:t xml:space="preserve"> </w:t>
      </w:r>
      <w:r w:rsidR="00CC66FB" w:rsidRPr="00CC66FB">
        <w:rPr>
          <w:rFonts w:eastAsia="Times New Roman" w:cs="Times New Roman"/>
          <w:snapToGrid w:val="0"/>
          <w:color w:val="FF0000"/>
          <w:szCs w:val="24"/>
        </w:rPr>
        <w:t>removing and dispos</w:t>
      </w:r>
      <w:r w:rsidR="00CC66FB">
        <w:rPr>
          <w:rFonts w:eastAsia="Times New Roman" w:cs="Times New Roman"/>
          <w:snapToGrid w:val="0"/>
          <w:color w:val="FF0000"/>
          <w:szCs w:val="24"/>
        </w:rPr>
        <w:t>ing</w:t>
      </w:r>
      <w:r w:rsidR="00CC66FB" w:rsidRPr="00CC66FB">
        <w:rPr>
          <w:rFonts w:eastAsia="Times New Roman" w:cs="Times New Roman"/>
          <w:snapToGrid w:val="0"/>
          <w:color w:val="FF0000"/>
          <w:szCs w:val="24"/>
        </w:rPr>
        <w:t xml:space="preserve"> existing concrete</w:t>
      </w:r>
      <w:r w:rsidR="00CC66FB">
        <w:rPr>
          <w:rFonts w:eastAsia="Times New Roman" w:cs="Times New Roman"/>
          <w:snapToGrid w:val="0"/>
          <w:szCs w:val="24"/>
        </w:rPr>
        <w:t>,</w:t>
      </w:r>
      <w:r w:rsidRPr="005C32C4">
        <w:rPr>
          <w:rFonts w:eastAsia="Times New Roman" w:cs="Times New Roman"/>
          <w:snapToGrid w:val="0"/>
          <w:szCs w:val="24"/>
        </w:rPr>
        <w:t xml:space="preserve"> furnishing and placing concrete, and constructing and sealing joints.</w:t>
      </w:r>
    </w:p>
    <w:p w:rsidR="005C32C4" w:rsidRPr="005C32C4" w:rsidRDefault="005C32C4" w:rsidP="005C32C4">
      <w:pPr>
        <w:jc w:val="both"/>
        <w:rPr>
          <w:rFonts w:eastAsia="Times New Roman" w:cs="Times New Roman"/>
          <w:szCs w:val="24"/>
        </w:rPr>
      </w:pPr>
    </w:p>
    <w:p w:rsidR="005C32C4" w:rsidRPr="005C32C4" w:rsidRDefault="005C32C4" w:rsidP="005C32C4">
      <w:pPr>
        <w:rPr>
          <w:rFonts w:eastAsia="Times New Roman" w:cs="Times New Roman"/>
          <w:szCs w:val="24"/>
        </w:rPr>
      </w:pPr>
      <w:r w:rsidRPr="005C32C4">
        <w:rPr>
          <w:rFonts w:eastAsia="Times New Roman" w:cs="Times New Roman"/>
          <w:szCs w:val="24"/>
        </w:rPr>
        <w:t>Pay Item</w:t>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t>Pay Unit</w:t>
      </w:r>
    </w:p>
    <w:p w:rsidR="005C32C4" w:rsidRPr="005C32C4" w:rsidRDefault="005C32C4" w:rsidP="005C32C4">
      <w:pPr>
        <w:rPr>
          <w:rFonts w:eastAsia="Times New Roman" w:cs="Times New Roman"/>
          <w:szCs w:val="24"/>
        </w:rPr>
      </w:pPr>
      <w:r w:rsidRPr="005C32C4">
        <w:rPr>
          <w:rFonts w:eastAsia="Times New Roman" w:cs="Times New Roman"/>
          <w:szCs w:val="24"/>
        </w:rPr>
        <w:t>Incidental Concrete</w:t>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r>
      <w:r w:rsidRPr="005C32C4">
        <w:rPr>
          <w:rFonts w:eastAsia="Times New Roman" w:cs="Times New Roman"/>
          <w:szCs w:val="24"/>
        </w:rPr>
        <w:tab/>
        <w:t>Square Yard</w:t>
      </w:r>
    </w:p>
    <w:p w:rsidR="00592FC7" w:rsidRDefault="00592FC7"/>
    <w:sectPr w:rsidR="0059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C4"/>
    <w:rsid w:val="002950F1"/>
    <w:rsid w:val="0037560C"/>
    <w:rsid w:val="00592FC7"/>
    <w:rsid w:val="005C32C4"/>
    <w:rsid w:val="009A4E6E"/>
    <w:rsid w:val="00CC66FB"/>
    <w:rsid w:val="00E3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0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560C"/>
    <w:pPr>
      <w:keepNext/>
      <w:keepLines/>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37560C"/>
    <w:pPr>
      <w:keepNext/>
      <w:keepLines/>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37560C"/>
    <w:pPr>
      <w:keepNext/>
      <w:keepLines/>
      <w:jc w:val="center"/>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60C"/>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37560C"/>
    <w:rPr>
      <w:rFonts w:ascii="Times New Roman" w:eastAsiaTheme="majorEastAsia" w:hAnsi="Times New Roman" w:cstheme="majorBidi"/>
      <w:b/>
      <w:bCs/>
      <w:sz w:val="24"/>
      <w:szCs w:val="26"/>
      <w:u w:val="single"/>
    </w:rPr>
  </w:style>
  <w:style w:type="character" w:customStyle="1" w:styleId="Heading3Char">
    <w:name w:val="Heading 3 Char"/>
    <w:basedOn w:val="DefaultParagraphFont"/>
    <w:link w:val="Heading3"/>
    <w:uiPriority w:val="9"/>
    <w:rsid w:val="0037560C"/>
    <w:rPr>
      <w:rFonts w:ascii="Times New Roman" w:eastAsiaTheme="majorEastAsia" w:hAnsi="Times New Roman" w:cstheme="majorBidi"/>
      <w:bC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0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560C"/>
    <w:pPr>
      <w:keepNext/>
      <w:keepLines/>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37560C"/>
    <w:pPr>
      <w:keepNext/>
      <w:keepLines/>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37560C"/>
    <w:pPr>
      <w:keepNext/>
      <w:keepLines/>
      <w:jc w:val="center"/>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60C"/>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37560C"/>
    <w:rPr>
      <w:rFonts w:ascii="Times New Roman" w:eastAsiaTheme="majorEastAsia" w:hAnsi="Times New Roman" w:cstheme="majorBidi"/>
      <w:b/>
      <w:bCs/>
      <w:sz w:val="24"/>
      <w:szCs w:val="26"/>
      <w:u w:val="single"/>
    </w:rPr>
  </w:style>
  <w:style w:type="character" w:customStyle="1" w:styleId="Heading3Char">
    <w:name w:val="Heading 3 Char"/>
    <w:basedOn w:val="DefaultParagraphFont"/>
    <w:link w:val="Heading3"/>
    <w:uiPriority w:val="9"/>
    <w:rsid w:val="0037560C"/>
    <w:rPr>
      <w:rFonts w:ascii="Times New Roman" w:eastAsiaTheme="majorEastAsia" w:hAnsi="Times New Roman" w:cstheme="majorBidi"/>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2015-02</Let_x0020_Date>
    <Provision_x0020_Number xmlns="784a3e5a-d042-400c-82be-d2d1c9c2e623">SPD 08-251</Provision_x0020_Number>
    <Provision xmlns="784a3e5a-d042-400c-82be-d2d1c9c2e623">Incidental Concrete</Provision>
    <No_x002e_ xmlns="784a3e5a-d042-400c-82be-d2d1c9c2e623">SPD 08</No_x002e_>
    <_dlc_DocId xmlns="16f00c2e-ac5c-418b-9f13-a0771dbd417d">CONNECT-483-122</_dlc_DocId>
    <_dlc_DocIdUrl xmlns="16f00c2e-ac5c-418b-9f13-a0771dbd417d">
      <Url>https://connect.ncdot.gov/resources/Specifications/_layouts/DocIdRedir.aspx?ID=CONNECT-483-122</Url>
      <Description>CONNECT-483-122</Description>
    </_dlc_DocIdUrl>
    <URL xmlns="http://schemas.microsoft.com/sharepoint/v3">
      <Url xsi:nil="true"/>
      <Description xsi:nil="true"/>
    </URL>
    <Provision_x0020_Year xmlns="784a3e5a-d042-400c-82be-d2d1c9c2e623">2018 Standard Specifications</Provision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ef604a7-ebc4-47af-96e9-7f1ad444f50a" ContentTypeId="0x0101" PreviousValue="false"/>
</file>

<file path=customXml/itemProps1.xml><?xml version="1.0" encoding="utf-8"?>
<ds:datastoreItem xmlns:ds="http://schemas.openxmlformats.org/officeDocument/2006/customXml" ds:itemID="{6F9E088D-66BE-4895-84C5-8E407BEB5B73}"/>
</file>

<file path=customXml/itemProps2.xml><?xml version="1.0" encoding="utf-8"?>
<ds:datastoreItem xmlns:ds="http://schemas.openxmlformats.org/officeDocument/2006/customXml" ds:itemID="{5368E459-D6DA-4FA6-ADB6-8E609B35EB05}"/>
</file>

<file path=customXml/itemProps3.xml><?xml version="1.0" encoding="utf-8"?>
<ds:datastoreItem xmlns:ds="http://schemas.openxmlformats.org/officeDocument/2006/customXml" ds:itemID="{F71613EE-9D8A-4942-A448-AA7B8F9BD11C}"/>
</file>

<file path=customXml/itemProps4.xml><?xml version="1.0" encoding="utf-8"?>
<ds:datastoreItem xmlns:ds="http://schemas.openxmlformats.org/officeDocument/2006/customXml" ds:itemID="{42F791C2-E23B-458F-815E-993663E91708}"/>
</file>

<file path=customXml/itemProps5.xml><?xml version="1.0" encoding="utf-8"?>
<ds:datastoreItem xmlns:ds="http://schemas.openxmlformats.org/officeDocument/2006/customXml" ds:itemID="{7F74F521-6E9D-4727-B3D9-16786A8A1CE5}"/>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Incidental Concrete</dc:title>
  <dc:creator>Kimmel, Mary P</dc:creator>
  <cp:lastModifiedBy>Keel, William Daniel</cp:lastModifiedBy>
  <cp:revision>2</cp:revision>
  <dcterms:created xsi:type="dcterms:W3CDTF">2015-02-05T19:35:00Z</dcterms:created>
  <dcterms:modified xsi:type="dcterms:W3CDTF">2015-02-05T19:35:00Z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0x010100B87C9378A4E4F943AD77D3B768D40520</vt:lpwstr>
  </property>
  <property fmtid="{D5CDD505-2E9C-101B-9397-08002B2CF9AE}" pid="3" name="_dlc_DocIdItemGuid">
    <vt:lpwstr>ac438ef9-7f71-4a92-bcc4-757db544a7df</vt:lpwstr>
  </property>
  <property fmtid="{D5CDD505-2E9C-101B-9397-08002B2CF9AE}" pid="4" name="Order">
    <vt:r8>12200</vt:r8>
  </property>
</Properties>
</file>